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附件一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方案评审表</w:t>
      </w:r>
    </w:p>
    <w:p>
      <w:pPr>
        <w:pStyle w:val="2"/>
        <w:spacing w:line="300" w:lineRule="auto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方案评审表</w:t>
      </w:r>
    </w:p>
    <w:p>
      <w:pPr>
        <w:pStyle w:val="2"/>
        <w:spacing w:line="30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投标单位：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评审人：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</w:t>
      </w:r>
    </w:p>
    <w:tbl>
      <w:tblPr>
        <w:tblStyle w:val="4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73"/>
        <w:gridCol w:w="396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评审内容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分值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评审标准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一、投标报价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30分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定价方案合理且取费最低 20分～30分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定价方案合理且取费较高 10分～20分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定价方案及取费最高 0分～10分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508" w:type="dxa"/>
            <w:gridSpan w:val="5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二、方案水平（60分）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评审内容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分值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评审标准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方案水平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舞台面积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舞台设计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LED设备、设计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影片片头剪辑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内场布置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外场布置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宣传推广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氛围营造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灯光设备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音响设备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舞美设计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left="359" w:leftChars="17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人员投入分配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安保方案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应急预案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摄影摄像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晚会执行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主题表现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重点难点分析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与采购人配合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其他方面</w:t>
            </w:r>
          </w:p>
        </w:tc>
        <w:tc>
          <w:tcPr>
            <w:tcW w:w="3960" w:type="dxa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3分（</w:t>
            </w:r>
            <w:r>
              <w:rPr>
                <w:rFonts w:ascii="仿宋_GB2312" w:hAnsi="宋体" w:eastAsia="仿宋_GB2312"/>
                <w:kern w:val="0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kern w:val="0"/>
              </w:rPr>
              <w:t>）</w:t>
            </w:r>
          </w:p>
        </w:tc>
        <w:tc>
          <w:tcPr>
            <w:tcW w:w="847" w:type="dxa"/>
            <w:vAlign w:val="top"/>
          </w:tcPr>
          <w:p>
            <w:pPr>
              <w:spacing w:line="300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08" w:type="dxa"/>
            <w:gridSpan w:val="5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三、项目组成员（10分）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评审内容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分值</w:t>
            </w:r>
          </w:p>
        </w:tc>
        <w:tc>
          <w:tcPr>
            <w:tcW w:w="50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评审标准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团队架构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3分</w:t>
            </w:r>
          </w:p>
        </w:tc>
        <w:tc>
          <w:tcPr>
            <w:tcW w:w="5033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人员配置、分工（</w:t>
            </w:r>
            <w:r>
              <w:rPr>
                <w:rFonts w:ascii="仿宋_GB2312" w:hAnsi="宋体" w:eastAsia="仿宋_GB2312"/>
                <w:sz w:val="24"/>
                <w:szCs w:val="24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2分</w:t>
            </w:r>
          </w:p>
        </w:tc>
        <w:tc>
          <w:tcPr>
            <w:tcW w:w="5033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服务形式（</w:t>
            </w:r>
            <w:r>
              <w:rPr>
                <w:rFonts w:ascii="仿宋_GB2312" w:hAnsi="宋体" w:eastAsia="仿宋_GB2312"/>
                <w:sz w:val="24"/>
                <w:szCs w:val="24"/>
              </w:rPr>
              <w:t>优得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ascii="仿宋_GB2312" w:hAnsi="宋体" w:eastAsia="仿宋_GB2312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3分</w:t>
            </w:r>
          </w:p>
        </w:tc>
        <w:tc>
          <w:tcPr>
            <w:tcW w:w="5033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代表项目及过往业绩（</w:t>
            </w:r>
            <w:r>
              <w:rPr>
                <w:rFonts w:ascii="仿宋_GB2312" w:hAnsi="宋体" w:eastAsia="仿宋_GB2312"/>
                <w:sz w:val="24"/>
                <w:szCs w:val="24"/>
              </w:rPr>
              <w:t>优得3分，良得2分，一般得1分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2分</w:t>
            </w:r>
          </w:p>
        </w:tc>
        <w:tc>
          <w:tcPr>
            <w:tcW w:w="5033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过往业绩（</w:t>
            </w:r>
            <w:r>
              <w:rPr>
                <w:rFonts w:ascii="仿宋_GB2312" w:hAnsi="宋体" w:eastAsia="仿宋_GB2312"/>
                <w:sz w:val="24"/>
                <w:szCs w:val="24"/>
              </w:rPr>
              <w:t>优得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ascii="仿宋_GB2312" w:hAnsi="宋体" w:eastAsia="仿宋_GB2312"/>
                <w:sz w:val="24"/>
                <w:szCs w:val="24"/>
              </w:rPr>
              <w:t>分，良得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08" w:type="dxa"/>
            <w:gridSpan w:val="5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四、其它评审意见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8508" w:type="dxa"/>
            <w:gridSpan w:val="5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5AEB"/>
    <w:rsid w:val="69D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2018-04-08T06:20:00Z</dcterms:created>
  <dc:creator>否极泰来</dc:creator>
  <cp:lastModifiedBy>否极泰来</cp:lastModifiedBy>
  <dcterms:modified xsi:type="dcterms:W3CDTF">2018-04-08T06:20:37Z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